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134"/>
          <w:tab w:val="left" w:pos="567"/>
        </w:tabs>
        <w:spacing w:after="120" w:before="12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134"/>
          <w:tab w:val="left" w:pos="567"/>
        </w:tabs>
        <w:spacing w:after="120" w:before="120" w:line="240" w:lineRule="auto"/>
        <w:jc w:val="both"/>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 (Definitions)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 w:val="left" w:pos="567"/>
        </w:tabs>
        <w:spacing w:after="120" w:before="120" w:line="240" w:lineRule="auto"/>
        <w:jc w:val="both"/>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142" w:hanging="56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numPr>
          <w:ilvl w:val="1"/>
          <w:numId w:val="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6">
      <w:pPr>
        <w:numPr>
          <w:ilvl w:val="1"/>
          <w:numId w:val="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851" w:hanging="709"/>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11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tbl>
      <w:tblPr>
        <w:tblStyle w:val="Table1"/>
        <w:tblW w:w="8931.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8"/>
        <w:gridCol w:w="6663"/>
        <w:tblGridChange w:id="0">
          <w:tblGrid>
            <w:gridCol w:w="2268"/>
            <w:gridCol w:w="6663"/>
          </w:tblGrid>
        </w:tblGridChange>
      </w:tblGrid>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A">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B">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C">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is a Buyer, and the value of the relevant Call-Off Contract is greater than £</w:t>
            </w:r>
            <w:r w:rsidDel="00000000" w:rsidR="00000000" w:rsidRPr="00000000">
              <w:rPr>
                <w:rFonts w:ascii="Arial" w:cs="Arial" w:eastAsia="Arial" w:hAnsi="Arial"/>
                <w:color w:val="000000"/>
                <w:sz w:val="24"/>
                <w:szCs w:val="24"/>
                <w:rtl w:val="0"/>
              </w:rPr>
              <w:t xml:space="preserve">3million</w:t>
            </w:r>
            <w:r w:rsidDel="00000000" w:rsidR="00000000" w:rsidRPr="00000000">
              <w:rPr>
                <w:rFonts w:ascii="Arial" w:cs="Arial" w:eastAsia="Arial" w:hAnsi="Arial"/>
                <w:color w:val="000000"/>
                <w:sz w:val="24"/>
                <w:szCs w:val="24"/>
                <w:rtl w:val="0"/>
              </w:rPr>
              <w:t xml:space="preserve">, verify the Open Book Data;</w:t>
            </w:r>
          </w:p>
          <w:p w:rsidR="00000000" w:rsidDel="00000000" w:rsidP="00000000" w:rsidRDefault="00000000" w:rsidRPr="00000000" w14:paraId="0000002D">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E">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F">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0">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1">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2">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3">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4">
            <w:pPr>
              <w:numPr>
                <w:ilvl w:val="0"/>
                <w:numId w:val="14"/>
              </w:numPr>
              <w:pBdr>
                <w:top w:space="0" w:sz="0" w:val="nil"/>
                <w:left w:space="0" w:sz="0" w:val="nil"/>
                <w:bottom w:space="0" w:sz="0" w:val="nil"/>
                <w:right w:space="0" w:sz="0" w:val="nil"/>
                <w:between w:space="0" w:sz="0" w:val="nil"/>
              </w:pBdr>
              <w:tabs>
                <w:tab w:val="left" w:pos="-179"/>
                <w:tab w:val="left" w:pos="-9"/>
              </w:tabs>
              <w:spacing w:after="120" w:line="240" w:lineRule="auto"/>
              <w:ind w:left="624"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79"/>
                <w:tab w:val="left" w:pos="-9"/>
              </w:tabs>
              <w:spacing w:after="12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37">
            <w:pPr>
              <w:numPr>
                <w:ilvl w:val="0"/>
                <w:numId w:val="9"/>
              </w:numPr>
              <w:pBdr>
                <w:top w:space="0" w:sz="0" w:val="nil"/>
                <w:left w:space="0" w:sz="0" w:val="nil"/>
                <w:bottom w:space="0" w:sz="0" w:val="nil"/>
                <w:right w:space="0" w:sz="0" w:val="nil"/>
                <w:between w:space="0" w:sz="0" w:val="nil"/>
              </w:pBdr>
              <w:tabs>
                <w:tab w:val="left" w:pos="-179"/>
                <w:tab w:val="left" w:pos="-9"/>
              </w:tabs>
              <w:spacing w:after="120" w:line="240" w:lineRule="auto"/>
              <w:ind w:left="432" w:hanging="2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3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3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up to a maximum of the number of years in total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“Catalogue”</w:t>
            </w: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Supplier’s catalogue of Deliverables available to Buyers in relation to Lot 1 only to order without Further Competition;</w:t>
            </w:r>
            <w:r w:rsidDel="00000000" w:rsidR="00000000" w:rsidRPr="00000000">
              <w:rPr>
                <w:rtl w:val="0"/>
              </w:rPr>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“Catalogue Publication Portal”</w:t>
            </w:r>
            <w:r w:rsidDel="00000000" w:rsidR="00000000" w:rsidRPr="00000000">
              <w:rPr>
                <w:rtl w:val="0"/>
              </w:rPr>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CCS online publication channel via which Buyers can view the Catalogue;</w:t>
              <w:tab/>
            </w:r>
            <w:r w:rsidDel="00000000" w:rsidR="00000000" w:rsidRPr="00000000">
              <w:rPr>
                <w:rtl w:val="0"/>
              </w:rPr>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color w:val="000000"/>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base salary paid to the Supplier Staff;</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employer’s National Insurance contributions;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pension contributions;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car allowances;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 any other contractual employment benefits;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 staff training;</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 </w:t>
            </w: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accommodation;</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(viii) </w:t>
            </w: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equipment and tools reasonably necessary to provide the Deliverables (but not including items included within limb (b) below); and</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(ix) reasonable recruitment costs, as agreed with the Buyer; </w:t>
            </w:r>
          </w:p>
          <w:p w:rsidR="00000000" w:rsidDel="00000000" w:rsidP="00000000" w:rsidRDefault="00000000" w:rsidRPr="00000000" w14:paraId="0000009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Overhead;</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financing or similar costs;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taxation;</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 fines and penalties;</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 amounts payable under Call-Off Schedule 16 (Benchmarking) where such Schedule is used; and</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890"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 non-cash items (including depreciation, amortisation, impairments and movements in provisions);</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Criteria”</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award criteria to be applied for the direct award of Call-Off Contracts following the process set out in Framework Schedule 7(Cal-Off Award Procedure);</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C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576"/>
                <w:tab w:val="left" w:pos="144"/>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576"/>
                <w:tab w:val="left" w:pos="144"/>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576"/>
                <w:tab w:val="left" w:pos="144"/>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576"/>
                <w:tab w:val="left" w:pos="144"/>
              </w:tabs>
              <w:spacing w:after="120" w:lineRule="auto"/>
              <w:ind w:left="142" w:firstLine="140.9999999999999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0E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E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Framework Contract; and</w:t>
            </w:r>
          </w:p>
          <w:p w:rsidR="00000000" w:rsidDel="00000000" w:rsidP="00000000" w:rsidRDefault="00000000" w:rsidRPr="00000000" w14:paraId="000000F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Call-off Contract that is not subject to (as applicable) any of:</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pos="-179"/>
                <w:tab w:val="left" w:pos="1025"/>
              </w:tabs>
              <w:spacing w:after="120" w:lineRule="auto"/>
              <w:ind w:left="1025"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10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terrorism;</w:t>
            </w:r>
          </w:p>
          <w:p w:rsidR="00000000" w:rsidDel="00000000" w:rsidP="00000000" w:rsidRDefault="00000000" w:rsidRPr="00000000" w14:paraId="0000010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government, local government or regulatory bodies;</w:t>
            </w:r>
          </w:p>
          <w:p w:rsidR="00000000" w:rsidDel="00000000" w:rsidP="00000000" w:rsidRDefault="00000000" w:rsidRPr="00000000" w14:paraId="0000010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storm or earthquake or other natural disaster,</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Initial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the Framework Contract as specified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2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3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ICT systems used in the delivery of the Services as described in Call-Off Schedule 6 (ICT Services);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Services”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ICT related Services to be delivered under a Call-Off Contract as described in Call-Off Schedule 6 (ICT Services);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4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4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“Independent Controller” shall be construed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s>
              <w:spacing w:after="120" w:lineRule="auto"/>
              <w:ind w:left="889"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(being a company or a LLP) is deemed unable to pay its debts within the meaning of section 123 of the Insolvency Act 1986, or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s>
              <w:spacing w:after="120" w:lineRule="auto"/>
              <w:ind w:left="889"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(being a partnership) is deemed unable to pay its debts within the meaning of section 222 of the Insolvency Act 1986;</w:t>
            </w:r>
          </w:p>
          <w:p w:rsidR="00000000" w:rsidDel="00000000" w:rsidP="00000000" w:rsidRDefault="00000000" w:rsidRPr="00000000" w14:paraId="0000016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another person becomes entitled to appoint a receiver over the assets of that person or a receiver is appointed over the assets of that person;</w:t>
            </w:r>
          </w:p>
          <w:p w:rsidR="00000000" w:rsidDel="00000000" w:rsidP="00000000" w:rsidRDefault="00000000" w:rsidRPr="00000000" w14:paraId="0000016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suspends or ceases, or threatens to suspend or cease, carrying on all or a substantial part of its business;</w:t>
            </w:r>
          </w:p>
          <w:p w:rsidR="00000000" w:rsidDel="00000000" w:rsidP="00000000" w:rsidRDefault="00000000" w:rsidRPr="00000000" w14:paraId="0000016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that person is a company, a LLP or a partnership:</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s>
              <w:spacing w:after="120" w:lineRule="auto"/>
              <w:ind w:left="889"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s>
              <w:spacing w:after="120" w:lineRule="auto"/>
              <w:ind w:left="889"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s>
              <w:spacing w:after="120" w:lineRule="auto"/>
              <w:ind w:left="889"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s>
              <w:spacing w:after="120" w:lineRule="auto"/>
              <w:ind w:left="889"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occurs, or proceeding is taken, with respect to that person in any jurisdiction to which it is subject that has an effect equivalent or similar to any of the events mentioned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(Processing Data);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8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"Loss" shall be interpreted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two (2) MI Reports are not provided in any rolling six (6) month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9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9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"Monthly" shall be interpreted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B1">
            <w:pPr>
              <w:numPr>
                <w:ilvl w:val="2"/>
                <w:numId w:val="10"/>
              </w:numPr>
              <w:pBdr>
                <w:top w:space="0" w:sz="0" w:val="nil"/>
                <w:left w:space="0" w:sz="0" w:val="nil"/>
                <w:bottom w:space="0" w:sz="0" w:val="nil"/>
                <w:right w:space="0" w:sz="0" w:val="nil"/>
                <w:between w:space="0" w:sz="0" w:val="nil"/>
              </w:pBdr>
              <w:tabs>
                <w:tab w:val="left" w:pos="-576"/>
                <w:tab w:val="left" w:pos="1002"/>
              </w:tabs>
              <w:spacing w:after="120" w:lineRule="auto"/>
              <w:ind w:left="1002"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2">
            <w:pPr>
              <w:numPr>
                <w:ilvl w:val="2"/>
                <w:numId w:val="10"/>
              </w:numPr>
              <w:pBdr>
                <w:top w:space="0" w:sz="0" w:val="nil"/>
                <w:left w:space="0" w:sz="0" w:val="nil"/>
                <w:bottom w:space="0" w:sz="0" w:val="nil"/>
                <w:right w:space="0" w:sz="0" w:val="nil"/>
                <w:between w:space="0" w:sz="0" w:val="nil"/>
              </w:pBdr>
              <w:tabs>
                <w:tab w:val="left" w:pos="-576"/>
                <w:tab w:val="left" w:pos="1002"/>
              </w:tabs>
              <w:spacing w:after="120" w:lineRule="auto"/>
              <w:ind w:left="1002"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3">
            <w:pPr>
              <w:numPr>
                <w:ilvl w:val="2"/>
                <w:numId w:val="10"/>
              </w:numPr>
              <w:pBdr>
                <w:top w:space="0" w:sz="0" w:val="nil"/>
                <w:left w:space="0" w:sz="0" w:val="nil"/>
                <w:bottom w:space="0" w:sz="0" w:val="nil"/>
                <w:right w:space="0" w:sz="0" w:val="nil"/>
                <w:between w:space="0" w:sz="0" w:val="nil"/>
              </w:pBdr>
              <w:tabs>
                <w:tab w:val="left" w:pos="-576"/>
                <w:tab w:val="left" w:pos="1002"/>
              </w:tabs>
              <w:spacing w:after="120" w:lineRule="auto"/>
              <w:ind w:left="1002"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4">
            <w:pPr>
              <w:numPr>
                <w:ilvl w:val="2"/>
                <w:numId w:val="10"/>
              </w:numPr>
              <w:pBdr>
                <w:top w:space="0" w:sz="0" w:val="nil"/>
                <w:left w:space="0" w:sz="0" w:val="nil"/>
                <w:bottom w:space="0" w:sz="0" w:val="nil"/>
                <w:right w:space="0" w:sz="0" w:val="nil"/>
                <w:between w:space="0" w:sz="0" w:val="nil"/>
              </w:pBdr>
              <w:tabs>
                <w:tab w:val="left" w:pos="-576"/>
                <w:tab w:val="left" w:pos="1002"/>
              </w:tabs>
              <w:spacing w:after="120" w:lineRule="auto"/>
              <w:ind w:left="1002"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B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B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1B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Services”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services [</w:t>
            </w:r>
            <w:r w:rsidDel="00000000" w:rsidR="00000000" w:rsidRPr="00000000">
              <w:rPr>
                <w:rFonts w:ascii="Arial" w:cs="Arial" w:eastAsia="Arial" w:hAnsi="Arial"/>
                <w:color w:val="000000"/>
                <w:sz w:val="24"/>
                <w:szCs w:val="24"/>
                <w:highlight w:val="yellow"/>
                <w:rtl w:val="0"/>
              </w:rPr>
              <w:t xml:space="preserve">set out in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relevant paragraphs of Schedule 20 which describe the optional Services] OR described in the Catalogue</w:t>
            </w:r>
            <w:r w:rsidDel="00000000" w:rsidR="00000000" w:rsidRPr="00000000">
              <w:rPr>
                <w:rFonts w:ascii="Arial" w:cs="Arial" w:eastAsia="Arial" w:hAnsi="Arial"/>
                <w:color w:val="000000"/>
                <w:sz w:val="24"/>
                <w:szCs w:val="24"/>
                <w:rtl w:val="0"/>
              </w:rPr>
              <w:t xml:space="preserve">] which the Buyer may require the Supplier to perform in accordance with Clause 24.9;</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 Call-Off Contract the Buyer or the Supplier. "Parties" shall mean both of them where the context permits;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3">
            <w:pPr>
              <w:numPr>
                <w:ilvl w:val="2"/>
                <w:numId w:val="5"/>
              </w:numPr>
              <w:pBdr>
                <w:top w:space="0" w:sz="0" w:val="nil"/>
                <w:left w:space="0" w:sz="0" w:val="nil"/>
                <w:bottom w:space="0" w:sz="0" w:val="nil"/>
                <w:right w:space="0" w:sz="0" w:val="nil"/>
                <w:between w:space="0" w:sz="0" w:val="nil"/>
              </w:pBdr>
              <w:tabs>
                <w:tab w:val="left" w:pos="-179"/>
                <w:tab w:val="left" w:pos="861"/>
              </w:tabs>
              <w:spacing w:after="120" w:lineRule="auto"/>
              <w:ind w:left="861"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4">
            <w:pPr>
              <w:numPr>
                <w:ilvl w:val="2"/>
                <w:numId w:val="5"/>
              </w:numPr>
              <w:pBdr>
                <w:top w:space="0" w:sz="0" w:val="nil"/>
                <w:left w:space="0" w:sz="0" w:val="nil"/>
                <w:bottom w:space="0" w:sz="0" w:val="nil"/>
                <w:right w:space="0" w:sz="0" w:val="nil"/>
                <w:between w:space="0" w:sz="0" w:val="nil"/>
              </w:pBdr>
              <w:tabs>
                <w:tab w:val="left" w:pos="-179"/>
                <w:tab w:val="left" w:pos="861"/>
              </w:tabs>
              <w:spacing w:after="120" w:lineRule="auto"/>
              <w:ind w:left="861"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1E7">
            <w:pPr>
              <w:numPr>
                <w:ilvl w:val="2"/>
                <w:numId w:val="5"/>
              </w:numPr>
              <w:pBdr>
                <w:top w:space="0" w:sz="0" w:val="nil"/>
                <w:left w:space="0" w:sz="0" w:val="nil"/>
                <w:bottom w:space="0" w:sz="0" w:val="nil"/>
                <w:right w:space="0" w:sz="0" w:val="nil"/>
                <w:between w:space="0" w:sz="0" w:val="nil"/>
              </w:pBdr>
              <w:tabs>
                <w:tab w:val="left" w:pos="-179"/>
                <w:tab w:val="left" w:pos="861"/>
              </w:tabs>
              <w:spacing w:after="120" w:lineRule="auto"/>
              <w:ind w:left="861"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8">
            <w:pPr>
              <w:numPr>
                <w:ilvl w:val="2"/>
                <w:numId w:val="5"/>
              </w:numPr>
              <w:pBdr>
                <w:top w:space="0" w:sz="0" w:val="nil"/>
                <w:left w:space="0" w:sz="0" w:val="nil"/>
                <w:bottom w:space="0" w:sz="0" w:val="nil"/>
                <w:right w:space="0" w:sz="0" w:val="nil"/>
                <w:between w:space="0" w:sz="0" w:val="nil"/>
              </w:pBdr>
              <w:tabs>
                <w:tab w:val="left" w:pos="-179"/>
                <w:tab w:val="left" w:pos="861"/>
              </w:tabs>
              <w:spacing w:after="120" w:lineRule="auto"/>
              <w:ind w:left="861"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9">
            <w:pPr>
              <w:numPr>
                <w:ilvl w:val="2"/>
                <w:numId w:val="5"/>
              </w:numPr>
              <w:pBdr>
                <w:top w:space="0" w:sz="0" w:val="nil"/>
                <w:left w:space="0" w:sz="0" w:val="nil"/>
                <w:bottom w:space="0" w:sz="0" w:val="nil"/>
                <w:right w:space="0" w:sz="0" w:val="nil"/>
                <w:between w:space="0" w:sz="0" w:val="nil"/>
              </w:pBdr>
              <w:tabs>
                <w:tab w:val="left" w:pos="-179"/>
                <w:tab w:val="left" w:pos="861"/>
              </w:tabs>
              <w:spacing w:after="120" w:lineRule="auto"/>
              <w:ind w:left="861"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A">
            <w:pPr>
              <w:numPr>
                <w:ilvl w:val="1"/>
                <w:numId w:val="5"/>
              </w:numPr>
              <w:pBdr>
                <w:top w:space="0" w:sz="0" w:val="nil"/>
                <w:left w:space="0" w:sz="0" w:val="nil"/>
                <w:bottom w:space="0" w:sz="0" w:val="nil"/>
                <w:right w:space="0" w:sz="0" w:val="nil"/>
                <w:between w:space="0" w:sz="0" w:val="nil"/>
              </w:pBdr>
              <w:tabs>
                <w:tab w:val="left" w:pos="-576"/>
                <w:tab w:val="left" w:pos="144"/>
                <w:tab w:val="left" w:pos="861"/>
              </w:tabs>
              <w:spacing w:after="120" w:lineRule="auto"/>
              <w:ind w:left="861"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color w:val="000000"/>
                <w:sz w:val="24"/>
                <w:szCs w:val="24"/>
                <w:rtl w:val="0"/>
              </w:rPr>
              <w:t xml:space="preserve">pseudonymising</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1F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1F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updated from time to time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advance in writing; and</w:t>
            </w:r>
          </w:p>
          <w:p w:rsidR="00000000" w:rsidDel="00000000" w:rsidP="00000000" w:rsidRDefault="00000000" w:rsidRPr="00000000" w14:paraId="000001F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3">
            <w:pPr>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Offer”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Deliverable made available to Buyers by the Supplier via the Catalogue;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Offer Effective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when the Service Offer will be available to Buyers on the Catalogue;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Offer Expiry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the Service Offer will be/was removed from the Catalogue;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Offer Price Card”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list of  prices, rates and other amounts for a specific Service Offer;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Offer Template”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set out at Annex 1 to Part B of Framework Schedule 3 (Framework Prices);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2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4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6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6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Prospectus”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means the written description of the Supplier’s </w:t>
            </w:r>
            <w:r w:rsidDel="00000000" w:rsidR="00000000" w:rsidRPr="00000000">
              <w:rPr>
                <w:rFonts w:ascii="Arial" w:cs="Arial" w:eastAsia="Arial" w:hAnsi="Arial"/>
                <w:color w:val="000000"/>
                <w:rtl w:val="0"/>
              </w:rPr>
              <w:t xml:space="preserve">functionality of the Deliverables </w:t>
            </w:r>
            <w:r w:rsidDel="00000000" w:rsidR="00000000" w:rsidRPr="00000000">
              <w:rPr>
                <w:rFonts w:ascii="Arial" w:cs="Arial" w:eastAsia="Arial" w:hAnsi="Arial"/>
                <w:color w:val="000000"/>
                <w:sz w:val="24"/>
                <w:szCs w:val="24"/>
                <w:rtl w:val="0"/>
              </w:rPr>
              <w:t xml:space="preserve">and Supplier Staff and in the form set out in Annex A of Framework Schedule 7, as the same may be amended or updated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27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27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“TEM Provider”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Supplier appointed by CCS to provide telecoms expense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8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"Tested" and “Testing” shall be construed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“Time and Materials”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pricing mechanism whereby the Buyer agrees to pay the Supplier based upon the work performed by the Supplier’s employees and </w:t>
            </w:r>
            <w:r w:rsidDel="00000000" w:rsidR="00000000" w:rsidRPr="00000000">
              <w:rPr>
                <w:rFonts w:ascii="Arial" w:cs="Arial" w:eastAsia="Arial" w:hAnsi="Arial"/>
                <w:color w:val="000000"/>
                <w:sz w:val="24"/>
                <w:szCs w:val="24"/>
                <w:rtl w:val="0"/>
              </w:rPr>
              <w:t xml:space="preserve">Sub-Contractors</w:t>
            </w:r>
            <w:r w:rsidDel="00000000" w:rsidR="00000000" w:rsidRPr="00000000">
              <w:rPr>
                <w:rFonts w:ascii="Arial" w:cs="Arial" w:eastAsia="Arial" w:hAnsi="Arial"/>
                <w:color w:val="000000"/>
                <w:sz w:val="24"/>
                <w:szCs w:val="24"/>
                <w:rtl w:val="0"/>
              </w:rPr>
              <w:t xml:space="preserve">, and for materials used in the  project, no matter how much work is required to complete the project;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2316"/>
                <w:tab w:val="left" w:pos="-2100"/>
                <w:tab w:val="left" w:pos="-179"/>
                <w:tab w:val="left" w:pos="-9"/>
              </w:tabs>
              <w:spacing w:after="120" w:before="0" w:line="240" w:lineRule="auto"/>
              <w:ind w:left="432" w:right="0" w:hanging="26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Commercially Sensitive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“Volume Discount(s)”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discounted price(s) applicable to purchases which exceed a Volume Discount Threshold;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“Volume Discount Threshold”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7 of Framework Schedule 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7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6">
      <w:pPr>
        <w:spacing w:after="0" w:line="240" w:lineRule="auto"/>
        <w:ind w:left="142" w:firstLine="0"/>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cs="Arial" w:eastAsia="Times New Roman"/>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cs="Arial" w:eastAsia="Times New Roman"/>
      <w:lang w:eastAsia="zh-CN"/>
    </w:rPr>
  </w:style>
  <w:style w:type="paragraph" w:styleId="ORDERFORML1PraraNo" w:customStyle="1">
    <w:name w:val="ORDER FORM L1 Prara No"/>
    <w:basedOn w:val="Normal"/>
    <w:qFormat w:val="1"/>
    <w:pPr>
      <w:numPr>
        <w:numId w:val="6"/>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6"/>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cs="Arial" w:eastAsia="Times New Roman"/>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AS6Wc/Kt6xLGLqhi+8WtkMrYSQ==">AMUW2mUIyx/EkJjw2qt9+1D+qsGrldem51QkZn9k39WL0zWf3/mvGmqirAE2JvfvawrGzh3CWKqe4F+jiRf/SAdFnMZ+lMB/q+7BAEFGCrW25o/x7sEI14jEVfQ53TOvqo1psPk8HMnNGEiB9YKU+yVYRVqVOOnkGZRJakWuwGOXp36M62mHNAQdOKyuwQ7I8T2dsxwBr2rS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2022-08-05T12:54:00Z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